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48. Меры стимулирования добросовестности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оценке добросовестности контролируемых лиц могут учитываться сведения, указанные в </w:t>
      </w:r>
      <w:hyperlink w:history="0" r:id="rId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части 7 статьи 23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11.06.2021 N 170-ФЗ)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>
      <w:pPr>
        <w:pStyle w:val="0"/>
        <w:jc w:val="both"/>
      </w:pPr>
      <w:r>
        <w:rPr>
          <w:sz w:val="24"/>
        </w:rPr>
        <w:t xml:space="preserve">(часть 6 введена Федеральным </w:t>
      </w:r>
      <w:hyperlink w:history="0" r:id="rId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hyperlink w:history="0" r:id="rId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540-ФЗ)</w:t>
      </w:r>
    </w:p>
    <w:p>
      <w:pPr>
        <w:pStyle w:val="0"/>
      </w:pPr>
      <w:hyperlink w:history="0" r:id="rId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  <w:i w:val="on"/>
          </w:rPr>
          <w:br/>
          <w:t xml:space="preserve">ст. 48, Федеральный закон от 31.07.2020 N 248-ФЗ (ред. от 28.12.2024) "О государственном контроле (надзоре) и муниципальном контроле в Российской Федерации"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96567&amp;date=10.07.2025&amp;dst=100261&amp;field=134" TargetMode = "External"/>
	<Relationship Id="rId3" Type="http://schemas.openxmlformats.org/officeDocument/2006/relationships/hyperlink" Target="https://login.consultant.ru/link/?req=doc&amp;base=LAW&amp;n=501438&amp;date=10.07.2025&amp;dst=103730&amp;field=134" TargetMode = "External"/>
	<Relationship Id="rId4" Type="http://schemas.openxmlformats.org/officeDocument/2006/relationships/hyperlink" Target="https://login.consultant.ru/link/?req=doc&amp;base=LAW&amp;n=494826&amp;date=10.07.2025&amp;dst=100082&amp;field=134" TargetMode = "External"/>
	<Relationship Id="rId5" Type="http://schemas.openxmlformats.org/officeDocument/2006/relationships/hyperlink" Target="https://login.consultant.ru/link/?req=doc&amp;base=LAW&amp;n=494826&amp;date=10.07.2025&amp;dst=100084&amp;field=134" TargetMode = "External"/>
	<Relationship Id="rId6" Type="http://schemas.openxmlformats.org/officeDocument/2006/relationships/hyperlink" Target="https://login.consultant.ru/link/?req=doc&amp;base=LAW&amp;n=496567&amp;date=10.07.2025&amp;dst=100541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
(с изм. и доп., вступ. в силу с 01.06.2025)</dc:title>
  <dcterms:created xsi:type="dcterms:W3CDTF">2025-07-10T06:56:11Z</dcterms:created>
</cp:coreProperties>
</file>